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D0C4" w14:textId="7BD2CA55" w:rsidR="008A4A71" w:rsidRPr="00891138" w:rsidRDefault="00AE3DAD" w:rsidP="005869E3">
      <w:pPr>
        <w:pStyle w:val="BodyText"/>
        <w:spacing w:line="276" w:lineRule="auto"/>
        <w:ind w:right="4164" w:hanging="102"/>
        <w:rPr>
          <w:rFonts w:asciiTheme="minorHAnsi" w:hAnsiTheme="minorHAnsi" w:cstheme="minorHAnsi"/>
          <w:b/>
          <w:bCs/>
        </w:rPr>
      </w:pPr>
      <w:r w:rsidRPr="00891138">
        <w:rPr>
          <w:rFonts w:asciiTheme="minorHAnsi" w:hAnsiTheme="minorHAnsi" w:cstheme="minorHAnsi"/>
          <w:b/>
          <w:bCs/>
        </w:rPr>
        <w:t>PART 1 GENERAL</w:t>
      </w:r>
    </w:p>
    <w:p w14:paraId="00515FAC" w14:textId="60A9066E" w:rsidR="00AE3DAD" w:rsidRPr="00891138" w:rsidRDefault="00AE3DAD" w:rsidP="005869E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891138">
        <w:rPr>
          <w:rFonts w:cstheme="minorHAnsi"/>
        </w:rPr>
        <w:t xml:space="preserve">GENERAL </w:t>
      </w:r>
    </w:p>
    <w:p w14:paraId="4F688500" w14:textId="39E73F57" w:rsidR="00AE3DAD" w:rsidRPr="00C941CB" w:rsidRDefault="00AE3DAD" w:rsidP="005869E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QUALITY ASSURANCE</w:t>
      </w:r>
    </w:p>
    <w:p w14:paraId="7DA00AEC" w14:textId="77777777" w:rsidR="00CC3F90" w:rsidRPr="00C941CB" w:rsidRDefault="00CC3F90" w:rsidP="005869E3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Electrical Components, Devices, and Accessories:  Listed and labeled as defined in NFPA 70, by a qualified testing agency, and marked for intended location and application.</w:t>
      </w:r>
    </w:p>
    <w:p w14:paraId="7FCFEBA1" w14:textId="3D2C1ACB" w:rsidR="00CC3F90" w:rsidRPr="00C941CB" w:rsidRDefault="00CC3F90" w:rsidP="005869E3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ETL LISTED</w:t>
      </w:r>
      <w:r w:rsidR="009E3D62" w:rsidRPr="00C941CB">
        <w:rPr>
          <w:rFonts w:cstheme="minorHAnsi"/>
        </w:rPr>
        <w:t xml:space="preserve"> to </w:t>
      </w:r>
      <w:r w:rsidR="00832C6A" w:rsidRPr="00C941CB">
        <w:rPr>
          <w:rFonts w:cstheme="minorHAnsi"/>
        </w:rPr>
        <w:t xml:space="preserve">UL </w:t>
      </w:r>
      <w:r w:rsidR="009E3D62" w:rsidRPr="00C941CB">
        <w:rPr>
          <w:rFonts w:cstheme="minorHAnsi"/>
        </w:rPr>
        <w:t>1008 Standards</w:t>
      </w:r>
      <w:r w:rsidR="00D51B9B" w:rsidRPr="00C941CB">
        <w:rPr>
          <w:rFonts w:cstheme="minorHAnsi"/>
        </w:rPr>
        <w:t xml:space="preserve"> up to 4000</w:t>
      </w:r>
      <w:r w:rsidR="008D6894" w:rsidRPr="00C941CB">
        <w:rPr>
          <w:rFonts w:cstheme="minorHAnsi"/>
        </w:rPr>
        <w:t>A</w:t>
      </w:r>
    </w:p>
    <w:p w14:paraId="4D13CBB6" w14:textId="58BB52FF" w:rsidR="00D51B9B" w:rsidRPr="00C941CB" w:rsidRDefault="00D51B9B" w:rsidP="005869E3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PE LISTED </w:t>
      </w:r>
      <w:r w:rsidR="00563EAC" w:rsidRPr="00C941CB">
        <w:rPr>
          <w:rFonts w:cstheme="minorHAnsi"/>
        </w:rPr>
        <w:t>to 5000</w:t>
      </w:r>
      <w:r w:rsidR="00B55C43" w:rsidRPr="00C941CB">
        <w:rPr>
          <w:rFonts w:cstheme="minorHAnsi"/>
        </w:rPr>
        <w:t>A</w:t>
      </w:r>
    </w:p>
    <w:p w14:paraId="7775B49C" w14:textId="351D8CDF" w:rsidR="00CC3F90" w:rsidRPr="00C941CB" w:rsidRDefault="00CC3F90" w:rsidP="005869E3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UL 50 LISTED </w:t>
      </w:r>
    </w:p>
    <w:p w14:paraId="058AA5C3" w14:textId="0CC9E0E1" w:rsidR="00AE3DAD" w:rsidRPr="00C941CB" w:rsidRDefault="00AE3DAD" w:rsidP="005869E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COORDINATION</w:t>
      </w:r>
    </w:p>
    <w:p w14:paraId="37C4C85E" w14:textId="1C9E5D56" w:rsidR="00B04AC9" w:rsidRPr="00C941CB" w:rsidRDefault="00B04AC9" w:rsidP="005869E3">
      <w:pPr>
        <w:pStyle w:val="ListParagraph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Coordinate layout and installation of Generator Docking Station, and components with equipment served and adjacent surfaces.  Maintain required workspace clearances and required clearances for equipment access doors and panels</w:t>
      </w:r>
    </w:p>
    <w:p w14:paraId="52A0BF2C" w14:textId="398B6BAC" w:rsidR="00AE3DAD" w:rsidRPr="00C941CB" w:rsidRDefault="00AE3DAD" w:rsidP="005869E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GUARANTEE/WARRANTY</w:t>
      </w:r>
    </w:p>
    <w:p w14:paraId="668F85CA" w14:textId="77777777" w:rsidR="00B04AC9" w:rsidRPr="00C941CB" w:rsidRDefault="00B04AC9" w:rsidP="005869E3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Manufacturer Warranty shall be provided for a minimum of 1 Year, </w:t>
      </w:r>
    </w:p>
    <w:p w14:paraId="7BDA5A0D" w14:textId="76522CEC" w:rsidR="00B04AC9" w:rsidRPr="00C941CB" w:rsidRDefault="00B04AC9" w:rsidP="005869E3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  <w:highlight w:val="lightGray"/>
        </w:rPr>
        <w:t>Extended Warranty will be supplied upon at user’s request at an additional charge from Manufacturer</w:t>
      </w:r>
      <w:r w:rsidRPr="00C941CB">
        <w:rPr>
          <w:rFonts w:cstheme="minorHAnsi"/>
        </w:rPr>
        <w:t>.</w:t>
      </w:r>
    </w:p>
    <w:p w14:paraId="34AE7C9E" w14:textId="4F57F18C" w:rsidR="00B04AC9" w:rsidRPr="00C941CB" w:rsidRDefault="00B04AC9" w:rsidP="005869E3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The equipment installed under this contract shall be left in proper working order</w:t>
      </w:r>
    </w:p>
    <w:p w14:paraId="0ADC8FE9" w14:textId="5A8F87C2" w:rsidR="00B04AC9" w:rsidRPr="00C941CB" w:rsidRDefault="00B04AC9" w:rsidP="005869E3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New materials and equipment shall be guaranteed against defects in composition, design or workmanship. Guarantee certificates shall be furnished.</w:t>
      </w:r>
    </w:p>
    <w:p w14:paraId="5C51CE01" w14:textId="77777777" w:rsidR="00D70870" w:rsidRPr="00C941CB" w:rsidRDefault="00D70870" w:rsidP="005869E3">
      <w:pPr>
        <w:spacing w:after="0" w:line="276" w:lineRule="auto"/>
        <w:rPr>
          <w:rFonts w:cstheme="minorHAnsi"/>
          <w:b/>
          <w:bCs/>
        </w:rPr>
      </w:pPr>
    </w:p>
    <w:p w14:paraId="732C55D7" w14:textId="440DB126" w:rsidR="00AE3DAD" w:rsidRPr="00C941CB" w:rsidRDefault="00AE3DAD" w:rsidP="005869E3">
      <w:pPr>
        <w:spacing w:after="0" w:line="276" w:lineRule="auto"/>
        <w:rPr>
          <w:rFonts w:cstheme="minorHAnsi"/>
          <w:b/>
          <w:bCs/>
        </w:rPr>
      </w:pPr>
      <w:r w:rsidRPr="00C941CB">
        <w:rPr>
          <w:rFonts w:cstheme="minorHAnsi"/>
          <w:b/>
          <w:bCs/>
        </w:rPr>
        <w:t>PART 2 PRODUCTS</w:t>
      </w:r>
    </w:p>
    <w:p w14:paraId="69D396BC" w14:textId="77777777" w:rsidR="00CC3F90" w:rsidRPr="00C941CB" w:rsidRDefault="00CC3F90" w:rsidP="005869E3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vanish/>
        </w:rPr>
      </w:pPr>
    </w:p>
    <w:p w14:paraId="47F2766B" w14:textId="77777777" w:rsidR="00CC3F90" w:rsidRPr="00C941CB" w:rsidRDefault="00CC3F90" w:rsidP="005869E3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vanish/>
        </w:rPr>
      </w:pPr>
    </w:p>
    <w:p w14:paraId="473C826C" w14:textId="754A8C3A" w:rsidR="00AE3DAD" w:rsidRPr="00C941CB" w:rsidRDefault="00AE3DAD" w:rsidP="005869E3">
      <w:pPr>
        <w:pStyle w:val="ListParagraph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DOCKING STATION</w:t>
      </w:r>
    </w:p>
    <w:p w14:paraId="4916E2DB" w14:textId="22C78F73" w:rsidR="00AE3DAD" w:rsidRPr="00C941CB" w:rsidRDefault="00AE3DAD" w:rsidP="005869E3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Manufacturers: Subject to compliance with requirements, provide products by the following:</w:t>
      </w:r>
    </w:p>
    <w:p w14:paraId="6043A8AE" w14:textId="02B2AC54" w:rsidR="00AE3DAD" w:rsidRPr="00C941CB" w:rsidRDefault="00AE3DAD" w:rsidP="005869E3">
      <w:pPr>
        <w:pStyle w:val="ListParagraph"/>
        <w:numPr>
          <w:ilvl w:val="1"/>
          <w:numId w:val="6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TRYSTAR: </w:t>
      </w:r>
      <w:r w:rsidR="00776FCF" w:rsidRPr="00C941CB">
        <w:rPr>
          <w:rFonts w:cstheme="minorHAnsi"/>
        </w:rPr>
        <w:t>High Amp</w:t>
      </w:r>
      <w:r w:rsidR="006B2A9D" w:rsidRPr="00C941CB">
        <w:rPr>
          <w:rFonts w:cstheme="minorHAnsi"/>
        </w:rPr>
        <w:t>erage</w:t>
      </w:r>
      <w:r w:rsidR="00776FCF" w:rsidRPr="00C941CB">
        <w:rPr>
          <w:rFonts w:cstheme="minorHAnsi"/>
        </w:rPr>
        <w:t xml:space="preserve"> </w:t>
      </w:r>
      <w:r w:rsidR="009769D0" w:rsidRPr="00C941CB">
        <w:rPr>
          <w:rFonts w:cstheme="minorHAnsi"/>
        </w:rPr>
        <w:t xml:space="preserve">Dual </w:t>
      </w:r>
      <w:r w:rsidR="009B3250" w:rsidRPr="00C941CB">
        <w:rPr>
          <w:rFonts w:cstheme="minorHAnsi"/>
        </w:rPr>
        <w:t>Breaker</w:t>
      </w:r>
      <w:r w:rsidR="009769D0" w:rsidRPr="00C941CB">
        <w:rPr>
          <w:rFonts w:cstheme="minorHAnsi"/>
        </w:rPr>
        <w:t xml:space="preserve"> </w:t>
      </w:r>
      <w:r w:rsidRPr="00C941CB">
        <w:rPr>
          <w:rFonts w:cstheme="minorHAnsi"/>
        </w:rPr>
        <w:t>Docking Station</w:t>
      </w:r>
      <w:r w:rsidR="00776FCF" w:rsidRPr="00C941CB">
        <w:rPr>
          <w:rFonts w:cstheme="minorHAnsi"/>
        </w:rPr>
        <w:t xml:space="preserve"> with Automatic Transfer Switch</w:t>
      </w:r>
    </w:p>
    <w:p w14:paraId="2A69EEDE" w14:textId="01994E7C" w:rsidR="00AE3DAD" w:rsidRPr="00C941CB" w:rsidRDefault="00AE3DAD" w:rsidP="005869E3">
      <w:pPr>
        <w:pStyle w:val="ListParagraph"/>
        <w:numPr>
          <w:ilvl w:val="1"/>
          <w:numId w:val="6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TRYSTAR Model No.: </w:t>
      </w:r>
      <w:r w:rsidR="006B2A9D" w:rsidRPr="00341519">
        <w:rPr>
          <w:rFonts w:cstheme="minorHAnsi"/>
          <w:highlight w:val="lightGray"/>
        </w:rPr>
        <w:t>HA</w:t>
      </w:r>
      <w:r w:rsidR="001F7846" w:rsidRPr="00341519">
        <w:rPr>
          <w:rFonts w:cstheme="minorHAnsi"/>
          <w:highlight w:val="lightGray"/>
        </w:rPr>
        <w:t xml:space="preserve"> </w:t>
      </w:r>
      <w:r w:rsidR="006B2A9D" w:rsidRPr="00341519">
        <w:rPr>
          <w:rFonts w:cstheme="minorHAnsi"/>
          <w:highlight w:val="lightGray"/>
        </w:rPr>
        <w:t>TATS</w:t>
      </w:r>
    </w:p>
    <w:p w14:paraId="7127E6A1" w14:textId="7C3160BC" w:rsidR="00AE3DAD" w:rsidRPr="00C941CB" w:rsidRDefault="00AE3DAD" w:rsidP="005869E3">
      <w:pPr>
        <w:pStyle w:val="ListParagraph"/>
        <w:numPr>
          <w:ilvl w:val="1"/>
          <w:numId w:val="6"/>
        </w:numPr>
        <w:spacing w:after="0" w:line="276" w:lineRule="auto"/>
        <w:rPr>
          <w:rStyle w:val="Hyperlink"/>
          <w:rFonts w:cstheme="minorHAnsi"/>
          <w:color w:val="auto"/>
          <w:u w:val="none"/>
        </w:rPr>
      </w:pPr>
      <w:r w:rsidRPr="00C941CB">
        <w:rPr>
          <w:rFonts w:cstheme="minorHAnsi"/>
        </w:rPr>
        <w:t>TRYSTAR One-Line Code:</w:t>
      </w:r>
      <w:hyperlink r:id="rId5" w:history="1">
        <w:r w:rsidRPr="00C941CB">
          <w:rPr>
            <w:rStyle w:val="Hyperlink"/>
            <w:rFonts w:cstheme="minorHAnsi"/>
            <w:color w:val="auto"/>
            <w:u w:val="none"/>
          </w:rPr>
          <w:t xml:space="preserve"> </w:t>
        </w:r>
      </w:hyperlink>
      <w:r w:rsidR="00E5553C" w:rsidRPr="00C941CB">
        <w:rPr>
          <w:rStyle w:val="Hyperlink"/>
          <w:rFonts w:cstheme="minorHAnsi"/>
          <w:color w:val="auto"/>
          <w:u w:val="none"/>
        </w:rPr>
        <w:t>DBDS</w:t>
      </w:r>
      <w:r w:rsidR="00125BA9" w:rsidRPr="00C941CB">
        <w:rPr>
          <w:rStyle w:val="Hyperlink"/>
          <w:rFonts w:cstheme="minorHAnsi"/>
          <w:color w:val="auto"/>
          <w:u w:val="none"/>
        </w:rPr>
        <w:t>-20</w:t>
      </w:r>
    </w:p>
    <w:p w14:paraId="08C1059B" w14:textId="04459ED8" w:rsidR="00AE3DAD" w:rsidRPr="00C941CB" w:rsidRDefault="00AE3DAD" w:rsidP="005869E3">
      <w:pPr>
        <w:pStyle w:val="ListParagraph"/>
        <w:numPr>
          <w:ilvl w:val="1"/>
          <w:numId w:val="6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TRYSTAR Representative: </w:t>
      </w:r>
      <w:hyperlink r:id="rId6" w:history="1">
        <w:r w:rsidRPr="00C941CB">
          <w:rPr>
            <w:rFonts w:cstheme="minorHAnsi"/>
          </w:rPr>
          <w:t>https://www.trystar.com/contact/</w:t>
        </w:r>
      </w:hyperlink>
      <w:r w:rsidRPr="00C941CB">
        <w:rPr>
          <w:rFonts w:cstheme="minorHAnsi"/>
        </w:rPr>
        <w:t xml:space="preserve"> </w:t>
      </w:r>
      <w:r w:rsidRPr="00C941CB">
        <w:rPr>
          <w:rFonts w:cstheme="minorHAnsi"/>
          <w:b/>
          <w:bCs/>
        </w:rPr>
        <w:t>and/or</w:t>
      </w:r>
      <w:r w:rsidRPr="00C941CB">
        <w:rPr>
          <w:rFonts w:cstheme="minorHAnsi"/>
        </w:rPr>
        <w:t xml:space="preserve"> </w:t>
      </w:r>
      <w:hyperlink r:id="rId7" w:history="1">
        <w:r w:rsidRPr="00C941CB">
          <w:rPr>
            <w:rStyle w:val="Hyperlink"/>
            <w:rFonts w:cstheme="minorHAnsi"/>
            <w:color w:val="auto"/>
            <w:spacing w:val="-2"/>
          </w:rPr>
          <w:t>info@trystar.com</w:t>
        </w:r>
      </w:hyperlink>
    </w:p>
    <w:p w14:paraId="77643A87" w14:textId="5C2EB8C6" w:rsidR="00AE3DAD" w:rsidRPr="00C941CB" w:rsidRDefault="00AE3DAD" w:rsidP="005869E3">
      <w:pPr>
        <w:pStyle w:val="ListParagraph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GENERAL REQUIREMENTS </w:t>
      </w:r>
    </w:p>
    <w:p w14:paraId="3DA00347" w14:textId="0854FBE6" w:rsidR="00AE3DAD" w:rsidRPr="00C941CB" w:rsidRDefault="00AE3DAD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 Enclosure </w:t>
      </w:r>
    </w:p>
    <w:p w14:paraId="3F505709" w14:textId="02628CD3" w:rsidR="00AE3DAD" w:rsidRPr="00C941CB" w:rsidRDefault="00AE3DAD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NEMA 3R Rain-Tight Aluminum Enclosure </w:t>
      </w:r>
    </w:p>
    <w:p w14:paraId="19C11973" w14:textId="32851CF9" w:rsidR="00AE3DAD" w:rsidRPr="00C941CB" w:rsidRDefault="001B7B05" w:rsidP="005869E3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L</w:t>
      </w:r>
      <w:r w:rsidR="00AE3DAD" w:rsidRPr="00C941CB">
        <w:rPr>
          <w:rFonts w:cstheme="minorHAnsi"/>
        </w:rPr>
        <w:t xml:space="preserve">ockable front door shall include a hinged access plate at the bottom for entry of temporary cabling that prevents unauthorized tampering while in use. </w:t>
      </w:r>
    </w:p>
    <w:p w14:paraId="3E4154B3" w14:textId="0444C266" w:rsidR="00AE3DAD" w:rsidRPr="00C941CB" w:rsidRDefault="00AE3DAD" w:rsidP="005869E3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NEMA 3R Integrity shall be maintained while temporary cabling is connected during use</w:t>
      </w:r>
    </w:p>
    <w:p w14:paraId="5CE262F9" w14:textId="6AFB292A" w:rsidR="00AE3DAD" w:rsidRPr="00C941CB" w:rsidRDefault="00AE3DAD" w:rsidP="005869E3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Front and Side shall be accessible for maintenance</w:t>
      </w:r>
    </w:p>
    <w:p w14:paraId="0F384125" w14:textId="5BBA0E80" w:rsidR="00AE3DAD" w:rsidRPr="00C941CB" w:rsidRDefault="00AE3DAD" w:rsidP="005869E3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Top, Side, and Bottom shall be accessible for permanent cabling </w:t>
      </w:r>
    </w:p>
    <w:p w14:paraId="0BCB2190" w14:textId="4738F66A" w:rsidR="00AE3DAD" w:rsidRPr="00C941CB" w:rsidRDefault="0070711C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Powder coat</w:t>
      </w:r>
    </w:p>
    <w:p w14:paraId="6790B050" w14:textId="2A7F7669" w:rsidR="00AE3DAD" w:rsidRPr="00C941CB" w:rsidRDefault="00AE3DAD" w:rsidP="005869E3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Paint after fabrication shall be </w:t>
      </w:r>
      <w:r w:rsidR="0070711C" w:rsidRPr="00C941CB">
        <w:rPr>
          <w:rFonts w:cstheme="minorHAnsi"/>
        </w:rPr>
        <w:t>Hammer tone</w:t>
      </w:r>
      <w:r w:rsidRPr="00C941CB">
        <w:rPr>
          <w:rFonts w:cstheme="minorHAnsi"/>
        </w:rPr>
        <w:t xml:space="preserve"> Gray</w:t>
      </w:r>
    </w:p>
    <w:p w14:paraId="23035B2D" w14:textId="6F9889BF" w:rsidR="00AE3DAD" w:rsidRPr="00C941CB" w:rsidRDefault="00AE3DAD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Phase, Neutral, and Ground Busbar</w:t>
      </w:r>
    </w:p>
    <w:p w14:paraId="6EADD73D" w14:textId="77777777" w:rsidR="00AE3DAD" w:rsidRPr="00C941CB" w:rsidRDefault="00AE3DAD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Material:  Silver-plated Copper</w:t>
      </w:r>
    </w:p>
    <w:p w14:paraId="1E273DB7" w14:textId="77777777" w:rsidR="00AE3DAD" w:rsidRPr="00C941CB" w:rsidRDefault="00AE3DAD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lastRenderedPageBreak/>
        <w:t>Equipment Ground Bus:  bonded to box.</w:t>
      </w:r>
    </w:p>
    <w:p w14:paraId="62776760" w14:textId="77777777" w:rsidR="00AE3DAD" w:rsidRPr="00C941CB" w:rsidRDefault="00AE3DAD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Isolated Ground Bus:  insulated from box.</w:t>
      </w:r>
    </w:p>
    <w:p w14:paraId="19C5BC2C" w14:textId="77777777" w:rsidR="00AE3DAD" w:rsidRPr="00C941CB" w:rsidRDefault="00AE3DAD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Ground Bus:  50% of phase size.</w:t>
      </w:r>
    </w:p>
    <w:p w14:paraId="49E94FAF" w14:textId="7057257C" w:rsidR="00AE3DAD" w:rsidRPr="00C941CB" w:rsidRDefault="00AE3DAD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Neutral Bus:  Neutral bus rated 100 percent of phase bus.</w:t>
      </w:r>
    </w:p>
    <w:p w14:paraId="5A45EDE5" w14:textId="3AEECD16" w:rsidR="00AE3DAD" w:rsidRPr="00C941CB" w:rsidRDefault="00AE3DAD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Temporary generator </w:t>
      </w:r>
      <w:r w:rsidR="009769D0" w:rsidRPr="00C941CB">
        <w:rPr>
          <w:rFonts w:cstheme="minorHAnsi"/>
        </w:rPr>
        <w:t xml:space="preserve">and Load Bank </w:t>
      </w:r>
      <w:r w:rsidRPr="00C941CB">
        <w:rPr>
          <w:rFonts w:cstheme="minorHAnsi"/>
        </w:rPr>
        <w:t xml:space="preserve">connectors shall be </w:t>
      </w:r>
      <w:r w:rsidR="00E149B2" w:rsidRPr="00C941CB">
        <w:rPr>
          <w:rFonts w:cstheme="minorHAnsi"/>
        </w:rPr>
        <w:t>c</w:t>
      </w:r>
      <w:r w:rsidRPr="00C941CB">
        <w:rPr>
          <w:rFonts w:cstheme="minorHAnsi"/>
        </w:rPr>
        <w:t>amlo</w:t>
      </w:r>
      <w:r w:rsidR="00E149B2" w:rsidRPr="00C941CB">
        <w:rPr>
          <w:rFonts w:cstheme="minorHAnsi"/>
        </w:rPr>
        <w:t>c</w:t>
      </w:r>
      <w:r w:rsidRPr="00C941CB">
        <w:rPr>
          <w:rFonts w:cstheme="minorHAnsi"/>
        </w:rPr>
        <w:t>k</w:t>
      </w:r>
      <w:r w:rsidR="00A87542" w:rsidRPr="00C941CB">
        <w:rPr>
          <w:rFonts w:cstheme="minorHAnsi"/>
        </w:rPr>
        <w:t>-</w:t>
      </w:r>
      <w:r w:rsidRPr="00C941CB">
        <w:rPr>
          <w:rFonts w:cstheme="minorHAnsi"/>
        </w:rPr>
        <w:t>style mounted on gland plate.</w:t>
      </w:r>
    </w:p>
    <w:p w14:paraId="206BF47B" w14:textId="2A831EBC" w:rsidR="00AE3DAD" w:rsidRPr="00C941CB" w:rsidRDefault="00E149B2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Connections</w:t>
      </w:r>
      <w:r w:rsidR="00AE3DAD" w:rsidRPr="00C941CB">
        <w:rPr>
          <w:rFonts w:cstheme="minorHAnsi"/>
        </w:rPr>
        <w:t xml:space="preserve"> shall be 16 Series model and color coded according to system voltage requirements</w:t>
      </w:r>
      <w:r w:rsidR="00CC3F90" w:rsidRPr="00C941CB">
        <w:rPr>
          <w:rFonts w:cstheme="minorHAnsi"/>
        </w:rPr>
        <w:t>.</w:t>
      </w:r>
    </w:p>
    <w:p w14:paraId="5BDAFB54" w14:textId="4E5FCE40" w:rsidR="00B04AC9" w:rsidRPr="00C941CB" w:rsidRDefault="00E149B2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Connections</w:t>
      </w:r>
      <w:r w:rsidR="00B04AC9" w:rsidRPr="00C941CB">
        <w:rPr>
          <w:rFonts w:cstheme="minorHAnsi"/>
        </w:rPr>
        <w:t xml:space="preserve"> shall be Bus Bar Style, </w:t>
      </w:r>
      <w:r w:rsidR="00F27760" w:rsidRPr="00C941CB">
        <w:rPr>
          <w:rFonts w:cstheme="minorHAnsi"/>
        </w:rPr>
        <w:t>Cabling or Double Set Screw is not acceptable</w:t>
      </w:r>
    </w:p>
    <w:p w14:paraId="6208EBED" w14:textId="33E67AA8" w:rsidR="00F96B96" w:rsidRPr="00C941CB" w:rsidRDefault="00E149B2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Connections</w:t>
      </w:r>
      <w:r w:rsidR="00CC3F90" w:rsidRPr="00C941CB">
        <w:rPr>
          <w:rFonts w:cstheme="minorHAnsi"/>
        </w:rPr>
        <w:t xml:space="preserve"> shall be protected against accidental contact while not in use </w:t>
      </w:r>
    </w:p>
    <w:p w14:paraId="47DBF7B1" w14:textId="0827F897" w:rsidR="00CC3F90" w:rsidRPr="00C941CB" w:rsidRDefault="00CC3F90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Permanent Connection shall be factory installed broad range set-screw mechanical type, located behind a physical barrier</w:t>
      </w:r>
    </w:p>
    <w:p w14:paraId="1A757E78" w14:textId="37C3639C" w:rsidR="00474E78" w:rsidRPr="00C941CB" w:rsidRDefault="00474E78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Transfer Switch Configuration</w:t>
      </w:r>
    </w:p>
    <w:p w14:paraId="01440B93" w14:textId="3B61B505" w:rsidR="005873C9" w:rsidRPr="00C941CB" w:rsidRDefault="00B7496A" w:rsidP="005869E3">
      <w:pPr>
        <w:pStyle w:val="BodyText"/>
        <w:numPr>
          <w:ilvl w:val="1"/>
          <w:numId w:val="7"/>
        </w:numPr>
        <w:tabs>
          <w:tab w:val="left" w:pos="1542"/>
        </w:tabs>
        <w:spacing w:line="276" w:lineRule="auto"/>
        <w:rPr>
          <w:rFonts w:asciiTheme="minorHAnsi" w:hAnsiTheme="minorHAnsi" w:cstheme="minorHAnsi"/>
        </w:rPr>
      </w:pPr>
      <w:r w:rsidRPr="00C941CB">
        <w:rPr>
          <w:rFonts w:asciiTheme="minorHAnsi" w:hAnsiTheme="minorHAnsi" w:cstheme="minorHAnsi"/>
          <w:spacing w:val="1"/>
        </w:rPr>
        <w:t>HA</w:t>
      </w:r>
      <w:r w:rsidR="001F7846" w:rsidRPr="00C941CB">
        <w:rPr>
          <w:rFonts w:asciiTheme="minorHAnsi" w:hAnsiTheme="minorHAnsi" w:cstheme="minorHAnsi"/>
          <w:spacing w:val="1"/>
        </w:rPr>
        <w:t xml:space="preserve"> </w:t>
      </w:r>
      <w:r w:rsidRPr="00C941CB">
        <w:rPr>
          <w:rFonts w:asciiTheme="minorHAnsi" w:hAnsiTheme="minorHAnsi" w:cstheme="minorHAnsi"/>
          <w:spacing w:val="1"/>
        </w:rPr>
        <w:t xml:space="preserve">TATS </w:t>
      </w:r>
      <w:r w:rsidR="005873C9" w:rsidRPr="00C941CB">
        <w:rPr>
          <w:rFonts w:asciiTheme="minorHAnsi" w:hAnsiTheme="minorHAnsi" w:cstheme="minorHAnsi"/>
          <w:spacing w:val="1"/>
        </w:rPr>
        <w:t>Docking Station shall have</w:t>
      </w:r>
      <w:r w:rsidR="005D6C59" w:rsidRPr="00C941CB">
        <w:rPr>
          <w:rFonts w:asciiTheme="minorHAnsi" w:hAnsiTheme="minorHAnsi" w:cstheme="minorHAnsi"/>
          <w:spacing w:val="1"/>
        </w:rPr>
        <w:t xml:space="preserve"> and</w:t>
      </w:r>
      <w:r w:rsidR="005873C9" w:rsidRPr="00C941CB">
        <w:rPr>
          <w:rFonts w:asciiTheme="minorHAnsi" w:hAnsiTheme="minorHAnsi" w:cstheme="minorHAnsi"/>
          <w:spacing w:val="1"/>
        </w:rPr>
        <w:t xml:space="preserve"> integrated Automatic Transfer Switch (ATS).</w:t>
      </w:r>
    </w:p>
    <w:p w14:paraId="2A7CC45F" w14:textId="398CF467" w:rsidR="005873C9" w:rsidRPr="00C941CB" w:rsidRDefault="00575DA1" w:rsidP="005869E3">
      <w:pPr>
        <w:pStyle w:val="BodyText"/>
        <w:numPr>
          <w:ilvl w:val="2"/>
          <w:numId w:val="7"/>
        </w:numPr>
        <w:tabs>
          <w:tab w:val="left" w:pos="2117"/>
        </w:tabs>
        <w:spacing w:line="276" w:lineRule="auto"/>
        <w:ind w:right="117"/>
        <w:rPr>
          <w:rFonts w:asciiTheme="minorHAnsi" w:hAnsiTheme="minorHAnsi" w:cstheme="minorHAnsi"/>
        </w:rPr>
      </w:pPr>
      <w:r w:rsidRPr="00C941CB">
        <w:rPr>
          <w:rFonts w:asciiTheme="minorHAnsi" w:hAnsiTheme="minorHAnsi" w:cstheme="minorHAnsi"/>
          <w:spacing w:val="-1"/>
        </w:rPr>
        <w:t xml:space="preserve">ATS shall work in conjunction with </w:t>
      </w:r>
      <w:r w:rsidR="00005B09" w:rsidRPr="00C941CB">
        <w:rPr>
          <w:rFonts w:asciiTheme="minorHAnsi" w:hAnsiTheme="minorHAnsi" w:cstheme="minorHAnsi"/>
          <w:spacing w:val="-1"/>
        </w:rPr>
        <w:t>dual breakers to enable two primary sources and one temporary source.</w:t>
      </w:r>
    </w:p>
    <w:p w14:paraId="0F86434E" w14:textId="312D7FCF" w:rsidR="005873C9" w:rsidRPr="00C941CB" w:rsidRDefault="005873C9" w:rsidP="005869E3">
      <w:pPr>
        <w:pStyle w:val="BodyText"/>
        <w:numPr>
          <w:ilvl w:val="2"/>
          <w:numId w:val="7"/>
        </w:numPr>
        <w:tabs>
          <w:tab w:val="left" w:pos="2117"/>
        </w:tabs>
        <w:spacing w:line="276" w:lineRule="auto"/>
        <w:ind w:right="117"/>
        <w:rPr>
          <w:rFonts w:asciiTheme="minorHAnsi" w:hAnsiTheme="minorHAnsi" w:cstheme="minorHAnsi"/>
        </w:rPr>
      </w:pPr>
      <w:r w:rsidRPr="00C941CB">
        <w:rPr>
          <w:rFonts w:asciiTheme="minorHAnsi" w:hAnsiTheme="minorHAnsi" w:cstheme="minorHAnsi"/>
        </w:rPr>
        <w:t xml:space="preserve">ATS shall be located behind </w:t>
      </w:r>
      <w:r w:rsidR="003133E0" w:rsidRPr="00C941CB">
        <w:rPr>
          <w:rFonts w:asciiTheme="minorHAnsi" w:hAnsiTheme="minorHAnsi" w:cstheme="minorHAnsi"/>
        </w:rPr>
        <w:t>a</w:t>
      </w:r>
      <w:r w:rsidRPr="00C941CB">
        <w:rPr>
          <w:rFonts w:asciiTheme="minorHAnsi" w:hAnsiTheme="minorHAnsi" w:cstheme="minorHAnsi"/>
        </w:rPr>
        <w:t xml:space="preserve"> lockable door to prevent any tampering by unauthorized personnel. </w:t>
      </w:r>
    </w:p>
    <w:p w14:paraId="19A593D8" w14:textId="516C3585" w:rsidR="00DB2AEE" w:rsidRPr="00C941CB" w:rsidRDefault="00DB2AEE" w:rsidP="005869E3">
      <w:pPr>
        <w:pStyle w:val="BodyText"/>
        <w:numPr>
          <w:ilvl w:val="2"/>
          <w:numId w:val="7"/>
        </w:numPr>
        <w:tabs>
          <w:tab w:val="left" w:pos="2117"/>
        </w:tabs>
        <w:spacing w:line="276" w:lineRule="auto"/>
        <w:ind w:right="117"/>
        <w:rPr>
          <w:rFonts w:asciiTheme="minorHAnsi" w:hAnsiTheme="minorHAnsi" w:cstheme="minorHAnsi"/>
        </w:rPr>
      </w:pPr>
      <w:r w:rsidRPr="00C941CB">
        <w:rPr>
          <w:rFonts w:asciiTheme="minorHAnsi" w:hAnsiTheme="minorHAnsi" w:cstheme="minorHAnsi"/>
        </w:rPr>
        <w:t xml:space="preserve">ATS </w:t>
      </w:r>
      <w:r w:rsidR="00DF2EFF" w:rsidRPr="00C941CB">
        <w:rPr>
          <w:rFonts w:asciiTheme="minorHAnsi" w:hAnsiTheme="minorHAnsi" w:cstheme="minorHAnsi"/>
        </w:rPr>
        <w:t xml:space="preserve">Control </w:t>
      </w:r>
      <w:r w:rsidRPr="00C941CB">
        <w:rPr>
          <w:rFonts w:asciiTheme="minorHAnsi" w:hAnsiTheme="minorHAnsi" w:cstheme="minorHAnsi"/>
        </w:rPr>
        <w:t xml:space="preserve">shall be </w:t>
      </w:r>
      <w:r w:rsidR="006771A4" w:rsidRPr="00C941CB">
        <w:rPr>
          <w:rFonts w:asciiTheme="minorHAnsi" w:hAnsiTheme="minorHAnsi" w:cstheme="minorHAnsi"/>
        </w:rPr>
        <w:t>Siemens [</w:t>
      </w:r>
      <w:r w:rsidR="006771A4" w:rsidRPr="00C941CB">
        <w:rPr>
          <w:rFonts w:asciiTheme="minorHAnsi" w:hAnsiTheme="minorHAnsi" w:cstheme="minorHAnsi"/>
          <w:highlight w:val="lightGray"/>
        </w:rPr>
        <w:t>ATC6300 | ATC6500</w:t>
      </w:r>
      <w:r w:rsidR="006771A4" w:rsidRPr="00C941CB">
        <w:rPr>
          <w:rFonts w:asciiTheme="minorHAnsi" w:hAnsiTheme="minorHAnsi" w:cstheme="minorHAnsi"/>
        </w:rPr>
        <w:t>] or equal</w:t>
      </w:r>
    </w:p>
    <w:p w14:paraId="00785B2D" w14:textId="36657629" w:rsidR="00CC3F90" w:rsidRPr="00C941CB" w:rsidRDefault="00CC3F90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Short Circuit &amp; Withstand Rating</w:t>
      </w:r>
    </w:p>
    <w:p w14:paraId="38FEAD22" w14:textId="01FAA2EF" w:rsidR="00CC3F90" w:rsidRPr="00C941CB" w:rsidRDefault="00CC3F90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Shall be minimum</w:t>
      </w:r>
      <w:r w:rsidR="00A44C2E" w:rsidRPr="00C941CB">
        <w:rPr>
          <w:rFonts w:cstheme="minorHAnsi"/>
        </w:rPr>
        <w:t xml:space="preserve"> 65</w:t>
      </w:r>
      <w:r w:rsidRPr="00C941CB">
        <w:rPr>
          <w:rFonts w:cstheme="minorHAnsi"/>
        </w:rPr>
        <w:t xml:space="preserve"> KAIC unless otherwise indicated on drawings</w:t>
      </w:r>
    </w:p>
    <w:p w14:paraId="54160B4F" w14:textId="77777777" w:rsidR="00EE17D3" w:rsidRPr="00C941CB" w:rsidRDefault="00CC3F90" w:rsidP="00EE17D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Voltage &amp; Amperage</w:t>
      </w:r>
    </w:p>
    <w:p w14:paraId="00AE27D6" w14:textId="02BB9466" w:rsidR="00EF2150" w:rsidRPr="00C941CB" w:rsidRDefault="00EE17D3" w:rsidP="00EE17D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Amperage</w:t>
      </w:r>
      <w:r w:rsidR="00AE4813" w:rsidRPr="00C941CB">
        <w:rPr>
          <w:rFonts w:cstheme="minorHAnsi"/>
        </w:rPr>
        <w:t xml:space="preserve">: </w:t>
      </w:r>
    </w:p>
    <w:p w14:paraId="4252F80B" w14:textId="6AA958F2" w:rsidR="00AE4813" w:rsidRPr="00C941CB" w:rsidRDefault="00D9689B" w:rsidP="00A07A6C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  <w:highlight w:val="lightGray"/>
        </w:rPr>
        <w:t>[</w:t>
      </w:r>
      <w:r w:rsidR="00F108A8" w:rsidRPr="00C941CB">
        <w:rPr>
          <w:rFonts w:cstheme="minorHAnsi"/>
          <w:highlight w:val="lightGray"/>
        </w:rPr>
        <w:t>1600A | 2000A | 2500A | 3000A | 3200A | 4000A (</w:t>
      </w:r>
      <w:r w:rsidRPr="00C941CB">
        <w:rPr>
          <w:rFonts w:cstheme="minorHAnsi"/>
          <w:highlight w:val="lightGray"/>
        </w:rPr>
        <w:t xml:space="preserve">ETL </w:t>
      </w:r>
      <w:r w:rsidR="00F108A8" w:rsidRPr="00C941CB">
        <w:rPr>
          <w:rFonts w:cstheme="minorHAnsi"/>
          <w:highlight w:val="lightGray"/>
        </w:rPr>
        <w:t>Listed)</w:t>
      </w:r>
      <w:r w:rsidR="00EF2150" w:rsidRPr="00C941CB">
        <w:rPr>
          <w:rFonts w:cstheme="minorHAnsi"/>
          <w:highlight w:val="lightGray"/>
        </w:rPr>
        <w:t>]</w:t>
      </w:r>
      <w:r w:rsidR="009E73FF" w:rsidRPr="00C941CB">
        <w:rPr>
          <w:rFonts w:cstheme="minorHAnsi"/>
          <w:highlight w:val="lightGray"/>
        </w:rPr>
        <w:t xml:space="preserve"> or </w:t>
      </w:r>
      <w:r w:rsidR="00EF2150" w:rsidRPr="00C941CB">
        <w:rPr>
          <w:rFonts w:cstheme="minorHAnsi"/>
          <w:highlight w:val="lightGray"/>
        </w:rPr>
        <w:t>[</w:t>
      </w:r>
      <w:r w:rsidR="00F108A8" w:rsidRPr="00C941CB">
        <w:rPr>
          <w:rFonts w:cstheme="minorHAnsi"/>
          <w:highlight w:val="lightGray"/>
        </w:rPr>
        <w:t>5000A (PE-Listed)</w:t>
      </w:r>
      <w:r w:rsidRPr="00C941CB">
        <w:rPr>
          <w:rFonts w:cstheme="minorHAnsi"/>
          <w:highlight w:val="lightGray"/>
        </w:rPr>
        <w:t>]</w:t>
      </w:r>
    </w:p>
    <w:p w14:paraId="75768B8E" w14:textId="65C36CA1" w:rsidR="00EF2150" w:rsidRPr="00C941CB" w:rsidRDefault="00AE4813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Voltag</w:t>
      </w:r>
      <w:r w:rsidR="002F70EF" w:rsidRPr="00C941CB">
        <w:rPr>
          <w:rFonts w:cstheme="minorHAnsi"/>
        </w:rPr>
        <w:t>e</w:t>
      </w:r>
      <w:r w:rsidRPr="00C941CB">
        <w:rPr>
          <w:rFonts w:cstheme="minorHAnsi"/>
        </w:rPr>
        <w:t xml:space="preserve">: </w:t>
      </w:r>
    </w:p>
    <w:p w14:paraId="72A0A4E9" w14:textId="11873DF8" w:rsidR="00CC3F90" w:rsidRPr="00C941CB" w:rsidRDefault="00CC3F90" w:rsidP="002B4ACB">
      <w:pPr>
        <w:pStyle w:val="ListParagraph"/>
        <w:numPr>
          <w:ilvl w:val="2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  <w:highlight w:val="lightGray"/>
        </w:rPr>
        <w:t>[</w:t>
      </w:r>
      <w:r w:rsidR="00D9689B" w:rsidRPr="00C941CB">
        <w:rPr>
          <w:rFonts w:cstheme="minorHAnsi"/>
          <w:highlight w:val="lightGray"/>
        </w:rPr>
        <w:t>208Y/120V | 480Y/277V | 600Y/347V @ 60Hz]</w:t>
      </w:r>
      <w:r w:rsidR="009E73FF" w:rsidRPr="00C941CB">
        <w:rPr>
          <w:rFonts w:cstheme="minorHAnsi"/>
          <w:highlight w:val="lightGray"/>
        </w:rPr>
        <w:t xml:space="preserve"> or </w:t>
      </w:r>
      <w:r w:rsidR="00D9689B" w:rsidRPr="00C941CB">
        <w:rPr>
          <w:rFonts w:cstheme="minorHAnsi"/>
          <w:highlight w:val="lightGray"/>
        </w:rPr>
        <w:t xml:space="preserve">[ </w:t>
      </w:r>
      <w:r w:rsidR="00EF2150" w:rsidRPr="00C941CB">
        <w:rPr>
          <w:rFonts w:cstheme="minorHAnsi"/>
          <w:highlight w:val="lightGray"/>
        </w:rPr>
        <w:t>400Y/230V @ 50Hz</w:t>
      </w:r>
      <w:r w:rsidR="00B77050" w:rsidRPr="00C941CB">
        <w:rPr>
          <w:rFonts w:cstheme="minorHAnsi"/>
          <w:highlight w:val="lightGray"/>
        </w:rPr>
        <w:t>]</w:t>
      </w:r>
    </w:p>
    <w:p w14:paraId="17E36526" w14:textId="575E1946" w:rsidR="00CC3F90" w:rsidRPr="00C941CB" w:rsidRDefault="00CC3F90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Factory Installed Phase Rotation Monitor Device:</w:t>
      </w:r>
    </w:p>
    <w:p w14:paraId="06D506A2" w14:textId="3C904786" w:rsidR="00CC3F90" w:rsidRPr="00C941CB" w:rsidRDefault="00CC3F90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Phase monitoring relay to be Siemens 3U4512-1AR20 or equal and factory installed</w:t>
      </w:r>
    </w:p>
    <w:p w14:paraId="103726A2" w14:textId="6A938C2A" w:rsidR="0010318D" w:rsidRPr="00C941CB" w:rsidRDefault="0010318D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Breaker Disconnects</w:t>
      </w:r>
      <w:r w:rsidR="008D475A" w:rsidRPr="00C941CB">
        <w:rPr>
          <w:rFonts w:cstheme="minorHAnsi"/>
        </w:rPr>
        <w:t xml:space="preserve"> (two)</w:t>
      </w:r>
    </w:p>
    <w:p w14:paraId="42C45327" w14:textId="77777777" w:rsidR="00CC3F90" w:rsidRPr="00C941CB" w:rsidRDefault="00CC3F90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Must be UL 489 Listed Breaker</w:t>
      </w:r>
    </w:p>
    <w:p w14:paraId="07CF28FB" w14:textId="380F8EDB" w:rsidR="00B04AC9" w:rsidRPr="00C941CB" w:rsidRDefault="00CC3F90" w:rsidP="005869E3">
      <w:pPr>
        <w:pStyle w:val="ListParagraph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Breakers shall be removable for service and maintenance</w:t>
      </w:r>
    </w:p>
    <w:p w14:paraId="51AB8F43" w14:textId="3A61A104" w:rsidR="002000C4" w:rsidRPr="00C941CB" w:rsidRDefault="002000C4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highlight w:val="lightGray"/>
        </w:rPr>
      </w:pPr>
      <w:r w:rsidRPr="00C941CB">
        <w:rPr>
          <w:rFonts w:cstheme="minorHAnsi"/>
        </w:rPr>
        <w:t xml:space="preserve">Grounding System: </w:t>
      </w:r>
      <w:r w:rsidRPr="00C941CB">
        <w:rPr>
          <w:rFonts w:cstheme="minorHAnsi"/>
          <w:highlight w:val="lightGray"/>
        </w:rPr>
        <w:t>[3-pole or 4-pole]</w:t>
      </w:r>
    </w:p>
    <w:p w14:paraId="3459EDD1" w14:textId="44A367B3" w:rsidR="00CC3F90" w:rsidRPr="00C941CB" w:rsidRDefault="00CC3F90" w:rsidP="005869E3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Additional accessories shall be included in submittal drawing as follows:</w:t>
      </w:r>
    </w:p>
    <w:p w14:paraId="5EFC428B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A: Two Wire Auto Start</w:t>
      </w:r>
    </w:p>
    <w:p w14:paraId="0E91BE25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B: Battery Charger Receptacle 20A DUPLEX 125V</w:t>
      </w:r>
    </w:p>
    <w:p w14:paraId="08383749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C: Battery Charger Receptacle 20A GFCI 125V</w:t>
      </w:r>
    </w:p>
    <w:p w14:paraId="6FAD9494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D: Block Heater Receptacle 30A L5-30 125V</w:t>
      </w:r>
    </w:p>
    <w:p w14:paraId="7129E048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F: 50A Twist-Lock 125V/250V</w:t>
      </w:r>
    </w:p>
    <w:p w14:paraId="6E8E275C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H: SCADA Terminal Port</w:t>
      </w:r>
    </w:p>
    <w:p w14:paraId="44600F6D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K#: Kirk Key Door Interlock</w:t>
      </w:r>
    </w:p>
    <w:p w14:paraId="343CB10C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lastRenderedPageBreak/>
        <w:t>M: Listed Monitoring Device</w:t>
      </w:r>
    </w:p>
    <w:p w14:paraId="1760FB25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N: Strip Heater &amp; Thermostat</w:t>
      </w:r>
    </w:p>
    <w:p w14:paraId="5FB4FF53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P: Surge Protection Device</w:t>
      </w:r>
    </w:p>
    <w:p w14:paraId="3DB4092A" w14:textId="77777777" w:rsidR="00B04AC9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Q: Load Dump Receptacle</w:t>
      </w:r>
    </w:p>
    <w:p w14:paraId="0239D10C" w14:textId="314718CD" w:rsidR="00CC3F90" w:rsidRPr="00C941CB" w:rsidRDefault="00B04AC9" w:rsidP="005869E3">
      <w:pPr>
        <w:pStyle w:val="ListParagraph"/>
        <w:spacing w:after="0" w:line="276" w:lineRule="auto"/>
        <w:ind w:left="1440"/>
        <w:rPr>
          <w:rFonts w:cstheme="minorHAnsi"/>
        </w:rPr>
      </w:pPr>
      <w:r w:rsidRPr="00C941CB">
        <w:rPr>
          <w:rFonts w:cstheme="minorHAnsi"/>
          <w:highlight w:val="lightGray"/>
        </w:rPr>
        <w:t>U: Utility Light/Alarm (Customer Specified)</w:t>
      </w:r>
    </w:p>
    <w:p w14:paraId="7015BAF3" w14:textId="77777777" w:rsidR="00D70870" w:rsidRPr="00C941CB" w:rsidRDefault="00D70870" w:rsidP="005869E3">
      <w:pPr>
        <w:pStyle w:val="BodyText"/>
        <w:spacing w:line="276" w:lineRule="auto"/>
        <w:ind w:right="4164" w:hanging="102"/>
        <w:rPr>
          <w:rFonts w:asciiTheme="minorHAnsi" w:hAnsiTheme="minorHAnsi" w:cstheme="minorHAnsi"/>
          <w:b/>
          <w:bCs/>
        </w:rPr>
      </w:pPr>
    </w:p>
    <w:p w14:paraId="1A4F38D1" w14:textId="4958D5FA" w:rsidR="00CC3F90" w:rsidRPr="00C941CB" w:rsidRDefault="00CC3F90" w:rsidP="005869E3">
      <w:pPr>
        <w:pStyle w:val="BodyText"/>
        <w:spacing w:line="276" w:lineRule="auto"/>
        <w:ind w:right="4164" w:hanging="102"/>
        <w:rPr>
          <w:rFonts w:asciiTheme="minorHAnsi" w:hAnsiTheme="minorHAnsi" w:cstheme="minorHAnsi"/>
          <w:b/>
          <w:bCs/>
        </w:rPr>
      </w:pPr>
      <w:r w:rsidRPr="00C941CB">
        <w:rPr>
          <w:rFonts w:asciiTheme="minorHAnsi" w:hAnsiTheme="minorHAnsi" w:cstheme="minorHAnsi"/>
          <w:b/>
          <w:bCs/>
        </w:rPr>
        <w:t xml:space="preserve">PART 3 EXECUTION  </w:t>
      </w:r>
    </w:p>
    <w:p w14:paraId="3961DBAA" w14:textId="77777777" w:rsidR="00CC3F90" w:rsidRPr="00C941CB" w:rsidRDefault="00CC3F90" w:rsidP="005869E3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vanish/>
        </w:rPr>
      </w:pPr>
    </w:p>
    <w:p w14:paraId="5B8F461D" w14:textId="77777777" w:rsidR="00CC3F90" w:rsidRPr="00C941CB" w:rsidRDefault="00CC3F90" w:rsidP="005869E3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vanish/>
        </w:rPr>
      </w:pPr>
    </w:p>
    <w:p w14:paraId="627C4E56" w14:textId="77777777" w:rsidR="00CC3F90" w:rsidRPr="00C941CB" w:rsidRDefault="00CC3F90" w:rsidP="005869E3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vanish/>
        </w:rPr>
      </w:pPr>
    </w:p>
    <w:p w14:paraId="743F3C70" w14:textId="0A8E2FEC" w:rsidR="00CC3F90" w:rsidRPr="00C941CB" w:rsidRDefault="00CC3F90" w:rsidP="005869E3">
      <w:pPr>
        <w:pStyle w:val="ListParagraph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EXAMINATION</w:t>
      </w:r>
    </w:p>
    <w:p w14:paraId="5C129CF6" w14:textId="77777777" w:rsidR="00F27760" w:rsidRPr="00C941CB" w:rsidRDefault="00F27760" w:rsidP="005869E3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Examine elements and surfaces to receive Generator Docking Station for compliance with installation tolerances and other conditions affecting performance of the Work.</w:t>
      </w:r>
    </w:p>
    <w:p w14:paraId="7FA25213" w14:textId="77777777" w:rsidR="00F27760" w:rsidRPr="00C941CB" w:rsidRDefault="00F27760" w:rsidP="005869E3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Proceed with installation only after unsatisfactory conditions have been corrected</w:t>
      </w:r>
    </w:p>
    <w:p w14:paraId="4125A36E" w14:textId="514C91E8" w:rsidR="00CC3F90" w:rsidRPr="00C941CB" w:rsidRDefault="00CC3F90" w:rsidP="005869E3">
      <w:pPr>
        <w:pStyle w:val="ListParagraph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INSTALLATION</w:t>
      </w:r>
    </w:p>
    <w:p w14:paraId="2971E8A2" w14:textId="77777777" w:rsidR="00F27760" w:rsidRPr="00C941CB" w:rsidRDefault="00F27760" w:rsidP="005869E3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Surface, Flush or Base Mounted: Determined by Application</w:t>
      </w:r>
    </w:p>
    <w:p w14:paraId="280EDB57" w14:textId="78C6DA4C" w:rsidR="00F27760" w:rsidRPr="00C941CB" w:rsidRDefault="00F27760" w:rsidP="005869E3">
      <w:pPr>
        <w:pStyle w:val="ListParagraph"/>
        <w:numPr>
          <w:ilvl w:val="1"/>
          <w:numId w:val="16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Install anchor bolts to elevations required for proper attachment to Generator Docking Station.</w:t>
      </w:r>
    </w:p>
    <w:p w14:paraId="6052588C" w14:textId="1037EF8D" w:rsidR="00CC3F90" w:rsidRPr="00C941CB" w:rsidRDefault="00CC3F90" w:rsidP="005869E3">
      <w:pPr>
        <w:pStyle w:val="ListParagraph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IDENTIFICATION</w:t>
      </w:r>
    </w:p>
    <w:p w14:paraId="476E91D8" w14:textId="77777777" w:rsidR="00ED6A8C" w:rsidRPr="00C941CB" w:rsidRDefault="00ED6A8C" w:rsidP="005869E3">
      <w:pPr>
        <w:pStyle w:val="ListParagraph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Comply with requirements in Division 26 Section "Identification for Electrical Systems."</w:t>
      </w:r>
    </w:p>
    <w:p w14:paraId="77DDE754" w14:textId="77777777" w:rsidR="00ED6A8C" w:rsidRPr="00C941CB" w:rsidRDefault="00ED6A8C" w:rsidP="005869E3">
      <w:pPr>
        <w:pStyle w:val="ListParagraph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Identify field-installed conductors, interconnecting wiring, and components; provide warning signs.</w:t>
      </w:r>
    </w:p>
    <w:p w14:paraId="4CED9B09" w14:textId="2C7943B2" w:rsidR="00ED6A8C" w:rsidRPr="00C941CB" w:rsidRDefault="00ED6A8C" w:rsidP="005869E3">
      <w:pPr>
        <w:pStyle w:val="ListParagraph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Label each enclosure with engraved metal or laminated-plastic nameplate.</w:t>
      </w:r>
    </w:p>
    <w:p w14:paraId="633CB95A" w14:textId="261DB00A" w:rsidR="00CC3F90" w:rsidRPr="00C941CB" w:rsidRDefault="00CC3F90" w:rsidP="005869E3">
      <w:pPr>
        <w:pStyle w:val="ListParagraph"/>
        <w:numPr>
          <w:ilvl w:val="1"/>
          <w:numId w:val="8"/>
        </w:numPr>
        <w:spacing w:after="0" w:line="276" w:lineRule="auto"/>
        <w:rPr>
          <w:rFonts w:cstheme="minorHAnsi"/>
          <w:highlight w:val="lightGray"/>
        </w:rPr>
      </w:pPr>
      <w:r w:rsidRPr="00C941CB">
        <w:rPr>
          <w:rFonts w:cstheme="minorHAnsi"/>
          <w:highlight w:val="lightGray"/>
        </w:rPr>
        <w:t>FACTORY COMMISSIONING</w:t>
      </w:r>
    </w:p>
    <w:p w14:paraId="34242653" w14:textId="77777777" w:rsidR="001F12E5" w:rsidRPr="00C941CB" w:rsidRDefault="001F12E5" w:rsidP="005869E3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  <w:highlight w:val="lightGray"/>
        </w:rPr>
        <w:t xml:space="preserve">Upon completion of the installation, the docking station shall be commissioned by the Manufacturer’s factory authorized technician. </w:t>
      </w:r>
      <w:r w:rsidRPr="00C941CB">
        <w:rPr>
          <w:rFonts w:cstheme="minorHAnsi"/>
          <w:b/>
          <w:bCs/>
          <w:highlight w:val="lightGray"/>
          <w:u w:val="single"/>
        </w:rPr>
        <w:t xml:space="preserve">THIS SERVICE IS PROVIDED AT AN ADDITIONAL COST. </w:t>
      </w:r>
    </w:p>
    <w:p w14:paraId="6A6EC28E" w14:textId="77777777" w:rsidR="000A145A" w:rsidRPr="00C941CB" w:rsidRDefault="000A145A" w:rsidP="005869E3">
      <w:pPr>
        <w:pStyle w:val="ListParagraph"/>
        <w:numPr>
          <w:ilvl w:val="0"/>
          <w:numId w:val="19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b/>
          <w:bCs/>
          <w:highlight w:val="lightGray"/>
          <w:u w:val="single"/>
        </w:rPr>
        <w:t>SCOPE OF WORK SHALL INCLUDE:</w:t>
      </w:r>
    </w:p>
    <w:p w14:paraId="362AA71D" w14:textId="77777777" w:rsidR="000A145A" w:rsidRPr="00C941CB" w:rsidRDefault="000A145A" w:rsidP="005869E3">
      <w:pPr>
        <w:pStyle w:val="ListParagraph"/>
        <w:numPr>
          <w:ilvl w:val="1"/>
          <w:numId w:val="20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highlight w:val="lightGray"/>
        </w:rPr>
        <w:t xml:space="preserve">Review and verify the installation of all Trystar components and verify the correct electrical flow as depicted on the one-line drawings. </w:t>
      </w:r>
    </w:p>
    <w:p w14:paraId="1DD8474E" w14:textId="075D6B22" w:rsidR="004417A6" w:rsidRPr="00C941CB" w:rsidRDefault="004417A6" w:rsidP="005869E3">
      <w:pPr>
        <w:pStyle w:val="ListParagraph"/>
        <w:numPr>
          <w:ilvl w:val="1"/>
          <w:numId w:val="20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highlight w:val="lightGray"/>
        </w:rPr>
        <w:t xml:space="preserve">(If Applicable) The Manufacturer’s authorized technician will set the long time, short time, instantaneous and ground fault protection settings on the Generator Docking Station circuit breaker(s) in accordance with the </w:t>
      </w:r>
      <w:proofErr w:type="gramStart"/>
      <w:r w:rsidRPr="00C941CB">
        <w:rPr>
          <w:rFonts w:eastAsia="Times New Roman" w:cstheme="minorHAnsi"/>
          <w:highlight w:val="lightGray"/>
        </w:rPr>
        <w:t>engineers</w:t>
      </w:r>
      <w:proofErr w:type="gramEnd"/>
      <w:r w:rsidRPr="00C941CB">
        <w:rPr>
          <w:rFonts w:eastAsia="Times New Roman" w:cstheme="minorHAnsi"/>
          <w:highlight w:val="lightGray"/>
        </w:rPr>
        <w:t xml:space="preserve"> specifications or as provided as part of the coordination study. </w:t>
      </w:r>
    </w:p>
    <w:p w14:paraId="1D59E219" w14:textId="6695D9FA" w:rsidR="000A145A" w:rsidRPr="00C941CB" w:rsidRDefault="001615DD" w:rsidP="005869E3">
      <w:pPr>
        <w:pStyle w:val="ListParagraph"/>
        <w:numPr>
          <w:ilvl w:val="1"/>
          <w:numId w:val="20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highlight w:val="lightGray"/>
        </w:rPr>
        <w:t>Factory</w:t>
      </w:r>
      <w:r w:rsidR="000A145A" w:rsidRPr="00C941CB">
        <w:rPr>
          <w:rFonts w:eastAsia="Times New Roman" w:cstheme="minorHAnsi"/>
          <w:highlight w:val="lightGray"/>
        </w:rPr>
        <w:t xml:space="preserve"> training for on-site personnel to educate them on how to connect the GDS to a portable generator</w:t>
      </w:r>
    </w:p>
    <w:p w14:paraId="67C74C5C" w14:textId="5AE948B7" w:rsidR="000A145A" w:rsidRPr="00C941CB" w:rsidRDefault="000A145A" w:rsidP="005869E3">
      <w:pPr>
        <w:pStyle w:val="ListParagraph"/>
        <w:numPr>
          <w:ilvl w:val="1"/>
          <w:numId w:val="20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highlight w:val="lightGray"/>
        </w:rPr>
        <w:t>The Manufacturer’s factory authorized technician shall, upon completion of the commissioning provide a written report to the electrical contractor and electrical engineer indicating the completion of the work.</w:t>
      </w:r>
    </w:p>
    <w:p w14:paraId="46D1CD10" w14:textId="77777777" w:rsidR="001615DD" w:rsidRPr="00C941CB" w:rsidRDefault="001615DD" w:rsidP="005869E3">
      <w:pPr>
        <w:pStyle w:val="ListParagraph"/>
        <w:numPr>
          <w:ilvl w:val="1"/>
          <w:numId w:val="20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highlight w:val="lightGray"/>
        </w:rPr>
        <w:t>Any issue that is found during the start-up that is determined at that time to be a warranty issue will be covered by Manufacturer. Any issues that are specific to the scope for the electrical installing contractor are the sole responsibility of the installing contractor.</w:t>
      </w:r>
    </w:p>
    <w:p w14:paraId="63C94B3F" w14:textId="77777777" w:rsidR="000A145A" w:rsidRPr="00C941CB" w:rsidRDefault="000A145A" w:rsidP="005869E3">
      <w:pPr>
        <w:pStyle w:val="ListParagraph"/>
        <w:numPr>
          <w:ilvl w:val="1"/>
          <w:numId w:val="20"/>
        </w:numPr>
        <w:spacing w:after="0" w:line="276" w:lineRule="auto"/>
        <w:rPr>
          <w:rFonts w:eastAsia="Times New Roman" w:cstheme="minorHAnsi"/>
          <w:highlight w:val="lightGray"/>
        </w:rPr>
      </w:pPr>
      <w:r w:rsidRPr="00C941CB">
        <w:rPr>
          <w:rFonts w:eastAsia="Times New Roman" w:cstheme="minorHAnsi"/>
          <w:highlight w:val="lightGray"/>
        </w:rPr>
        <w:lastRenderedPageBreak/>
        <w:t>Upon successful completion of the commissioning, Trystar will provide a complimentary 12-month warranty extension, above and beyond the 12-month manufacturer warranty.</w:t>
      </w:r>
    </w:p>
    <w:p w14:paraId="454C75EA" w14:textId="4241A810" w:rsidR="00CC3F90" w:rsidRPr="00C941CB" w:rsidRDefault="00CC3F90" w:rsidP="005869E3">
      <w:pPr>
        <w:pStyle w:val="ListParagraph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FIELD QUALITY CONTROL</w:t>
      </w:r>
    </w:p>
    <w:p w14:paraId="0A883216" w14:textId="77777777" w:rsidR="00F27760" w:rsidRPr="00C941CB" w:rsidRDefault="00F27760" w:rsidP="005869E3">
      <w:pPr>
        <w:pStyle w:val="ListParagraph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>Third Party Tests and Inspections to include the following:</w:t>
      </w:r>
    </w:p>
    <w:p w14:paraId="4C6CB30A" w14:textId="53BE569D" w:rsidR="00F27760" w:rsidRPr="00C941CB" w:rsidRDefault="00F27760" w:rsidP="005869E3">
      <w:pPr>
        <w:pStyle w:val="ListParagraph"/>
        <w:numPr>
          <w:ilvl w:val="1"/>
          <w:numId w:val="15"/>
        </w:numPr>
        <w:spacing w:after="0" w:line="276" w:lineRule="auto"/>
        <w:rPr>
          <w:rFonts w:cstheme="minorHAnsi"/>
        </w:rPr>
      </w:pPr>
      <w:r w:rsidRPr="00C941CB">
        <w:rPr>
          <w:rFonts w:cstheme="minorHAnsi"/>
        </w:rPr>
        <w:t xml:space="preserve">Perform </w:t>
      </w:r>
      <w:r w:rsidR="001F12E5" w:rsidRPr="00C941CB">
        <w:rPr>
          <w:rFonts w:cstheme="minorHAnsi"/>
        </w:rPr>
        <w:t xml:space="preserve">each </w:t>
      </w:r>
      <w:r w:rsidR="0070711C" w:rsidRPr="00C941CB">
        <w:rPr>
          <w:rFonts w:cstheme="minorHAnsi"/>
        </w:rPr>
        <w:t>visual and mechanical inspection</w:t>
      </w:r>
      <w:r w:rsidRPr="00C941CB">
        <w:rPr>
          <w:rFonts w:cstheme="minorHAnsi"/>
        </w:rPr>
        <w:t xml:space="preserve"> and electrical test stated in NETA Acceptance Testing Specification.  Certify compliance with test parameters.</w:t>
      </w:r>
    </w:p>
    <w:p w14:paraId="6BD93F68" w14:textId="7630E276" w:rsidR="00F27760" w:rsidRDefault="00F27760" w:rsidP="005869E3">
      <w:pPr>
        <w:pStyle w:val="ListParagraph"/>
        <w:numPr>
          <w:ilvl w:val="0"/>
          <w:numId w:val="15"/>
        </w:numPr>
        <w:spacing w:after="0" w:line="276" w:lineRule="auto"/>
      </w:pPr>
      <w:r w:rsidRPr="00C941CB">
        <w:rPr>
          <w:rFonts w:cstheme="minorHAnsi"/>
        </w:rPr>
        <w:t>Prepare test and inspection reports, including a certified report that identifies Generator Docking Station and that desc</w:t>
      </w:r>
      <w:r w:rsidRPr="00C941CB">
        <w:t>ribes scannin</w:t>
      </w:r>
      <w:r>
        <w:t>g results. Include notation</w:t>
      </w:r>
    </w:p>
    <w:sectPr w:rsidR="00F2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2B5"/>
    <w:multiLevelType w:val="hybridMultilevel"/>
    <w:tmpl w:val="FC5856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27C5E"/>
    <w:multiLevelType w:val="hybridMultilevel"/>
    <w:tmpl w:val="FC0017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812BB"/>
    <w:multiLevelType w:val="multilevel"/>
    <w:tmpl w:val="80F23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D24041"/>
    <w:multiLevelType w:val="hybridMultilevel"/>
    <w:tmpl w:val="8F7CFBFE"/>
    <w:lvl w:ilvl="0" w:tplc="CDACE0CC">
      <w:start w:val="1"/>
      <w:numFmt w:val="upperLetter"/>
      <w:lvlText w:val="%1."/>
      <w:lvlJc w:val="left"/>
      <w:pPr>
        <w:ind w:hanging="576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91D886D4">
      <w:start w:val="1"/>
      <w:numFmt w:val="decimal"/>
      <w:lvlText w:val="%2."/>
      <w:lvlJc w:val="left"/>
      <w:pPr>
        <w:ind w:hanging="577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F5A6AC70">
      <w:start w:val="1"/>
      <w:numFmt w:val="bullet"/>
      <w:lvlText w:val="•"/>
      <w:lvlJc w:val="left"/>
      <w:rPr>
        <w:rFonts w:hint="default"/>
      </w:rPr>
    </w:lvl>
    <w:lvl w:ilvl="3" w:tplc="CA328894">
      <w:start w:val="1"/>
      <w:numFmt w:val="bullet"/>
      <w:lvlText w:val="•"/>
      <w:lvlJc w:val="left"/>
      <w:rPr>
        <w:rFonts w:hint="default"/>
      </w:rPr>
    </w:lvl>
    <w:lvl w:ilvl="4" w:tplc="2DAC7DCC">
      <w:start w:val="1"/>
      <w:numFmt w:val="bullet"/>
      <w:lvlText w:val="•"/>
      <w:lvlJc w:val="left"/>
      <w:rPr>
        <w:rFonts w:hint="default"/>
      </w:rPr>
    </w:lvl>
    <w:lvl w:ilvl="5" w:tplc="7BD8859E">
      <w:start w:val="1"/>
      <w:numFmt w:val="bullet"/>
      <w:lvlText w:val="•"/>
      <w:lvlJc w:val="left"/>
      <w:rPr>
        <w:rFonts w:hint="default"/>
      </w:rPr>
    </w:lvl>
    <w:lvl w:ilvl="6" w:tplc="A3429890">
      <w:start w:val="1"/>
      <w:numFmt w:val="bullet"/>
      <w:lvlText w:val="•"/>
      <w:lvlJc w:val="left"/>
      <w:rPr>
        <w:rFonts w:hint="default"/>
      </w:rPr>
    </w:lvl>
    <w:lvl w:ilvl="7" w:tplc="546E8584">
      <w:start w:val="1"/>
      <w:numFmt w:val="bullet"/>
      <w:lvlText w:val="•"/>
      <w:lvlJc w:val="left"/>
      <w:rPr>
        <w:rFonts w:hint="default"/>
      </w:rPr>
    </w:lvl>
    <w:lvl w:ilvl="8" w:tplc="7B4A51E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16514A"/>
    <w:multiLevelType w:val="hybridMultilevel"/>
    <w:tmpl w:val="CAC8F0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93294"/>
    <w:multiLevelType w:val="hybridMultilevel"/>
    <w:tmpl w:val="4DBEC1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D28"/>
    <w:multiLevelType w:val="hybridMultilevel"/>
    <w:tmpl w:val="F4BC9A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66AC2"/>
    <w:multiLevelType w:val="hybridMultilevel"/>
    <w:tmpl w:val="D3D88C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62FA9"/>
    <w:multiLevelType w:val="multilevel"/>
    <w:tmpl w:val="9190C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590A4D"/>
    <w:multiLevelType w:val="hybridMultilevel"/>
    <w:tmpl w:val="9D320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61"/>
    <w:multiLevelType w:val="hybridMultilevel"/>
    <w:tmpl w:val="FA2883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7072E"/>
    <w:multiLevelType w:val="hybridMultilevel"/>
    <w:tmpl w:val="DC3EEA9A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0F">
      <w:start w:val="1"/>
      <w:numFmt w:val="decimal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2EF7C97"/>
    <w:multiLevelType w:val="hybridMultilevel"/>
    <w:tmpl w:val="6EF2CA92"/>
    <w:lvl w:ilvl="0" w:tplc="D96215B2">
      <w:start w:val="2"/>
      <w:numFmt w:val="upperLetter"/>
      <w:lvlText w:val="%1."/>
      <w:lvlJc w:val="left"/>
      <w:pPr>
        <w:ind w:left="1512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432644DB"/>
    <w:multiLevelType w:val="hybridMultilevel"/>
    <w:tmpl w:val="FA2883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A0FA9"/>
    <w:multiLevelType w:val="hybridMultilevel"/>
    <w:tmpl w:val="924A9664"/>
    <w:lvl w:ilvl="0" w:tplc="05DE9206">
      <w:start w:val="1"/>
      <w:numFmt w:val="upperLetter"/>
      <w:lvlText w:val="%1."/>
      <w:lvlJc w:val="left"/>
      <w:pPr>
        <w:ind w:left="0" w:hanging="576"/>
      </w:pPr>
      <w:rPr>
        <w:rFonts w:ascii="Times New Roman" w:eastAsia="Times New Roman" w:hAnsi="Times New Roman" w:cs="Times New Roman" w:hint="default"/>
        <w:spacing w:val="-2"/>
        <w:sz w:val="22"/>
        <w:szCs w:val="22"/>
      </w:rPr>
    </w:lvl>
    <w:lvl w:ilvl="1" w:tplc="9C620506">
      <w:start w:val="1"/>
      <w:numFmt w:val="decimal"/>
      <w:lvlText w:val="%2."/>
      <w:lvlJc w:val="left"/>
      <w:pPr>
        <w:ind w:left="0" w:hanging="57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FF7CBDA8">
      <w:start w:val="1"/>
      <w:numFmt w:val="lowerLetter"/>
      <w:lvlText w:val="%3."/>
      <w:lvlJc w:val="left"/>
      <w:pPr>
        <w:ind w:left="0" w:hanging="577"/>
      </w:pPr>
      <w:rPr>
        <w:rFonts w:ascii="Times New Roman" w:eastAsia="Times New Roman" w:hAnsi="Times New Roman" w:cs="Times New Roman" w:hint="default"/>
        <w:sz w:val="22"/>
        <w:szCs w:val="22"/>
      </w:rPr>
    </w:lvl>
    <w:lvl w:ilvl="3" w:tplc="62D4F8B2">
      <w:start w:val="1"/>
      <w:numFmt w:val="bullet"/>
      <w:lvlText w:val="•"/>
      <w:lvlJc w:val="left"/>
      <w:pPr>
        <w:ind w:left="0" w:firstLine="0"/>
      </w:pPr>
    </w:lvl>
    <w:lvl w:ilvl="4" w:tplc="5ADE6954">
      <w:start w:val="1"/>
      <w:numFmt w:val="bullet"/>
      <w:lvlText w:val="•"/>
      <w:lvlJc w:val="left"/>
      <w:pPr>
        <w:ind w:left="0" w:firstLine="0"/>
      </w:pPr>
    </w:lvl>
    <w:lvl w:ilvl="5" w:tplc="2D9C0E20">
      <w:start w:val="1"/>
      <w:numFmt w:val="bullet"/>
      <w:lvlText w:val="•"/>
      <w:lvlJc w:val="left"/>
      <w:pPr>
        <w:ind w:left="0" w:firstLine="0"/>
      </w:pPr>
    </w:lvl>
    <w:lvl w:ilvl="6" w:tplc="223EE4F0">
      <w:start w:val="1"/>
      <w:numFmt w:val="bullet"/>
      <w:lvlText w:val="•"/>
      <w:lvlJc w:val="left"/>
      <w:pPr>
        <w:ind w:left="0" w:firstLine="0"/>
      </w:pPr>
    </w:lvl>
    <w:lvl w:ilvl="7" w:tplc="53147F96">
      <w:start w:val="1"/>
      <w:numFmt w:val="bullet"/>
      <w:lvlText w:val="•"/>
      <w:lvlJc w:val="left"/>
      <w:pPr>
        <w:ind w:left="0" w:firstLine="0"/>
      </w:pPr>
    </w:lvl>
    <w:lvl w:ilvl="8" w:tplc="20664D0C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53B33AE2"/>
    <w:multiLevelType w:val="hybridMultilevel"/>
    <w:tmpl w:val="430C79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9112C4"/>
    <w:multiLevelType w:val="hybridMultilevel"/>
    <w:tmpl w:val="D7CE91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C76ED"/>
    <w:multiLevelType w:val="hybridMultilevel"/>
    <w:tmpl w:val="AC385F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A4615"/>
    <w:multiLevelType w:val="hybridMultilevel"/>
    <w:tmpl w:val="B37E8F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33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251045">
    <w:abstractNumId w:val="2"/>
  </w:num>
  <w:num w:numId="2" w16cid:durableId="652686346">
    <w:abstractNumId w:val="19"/>
  </w:num>
  <w:num w:numId="3" w16cid:durableId="1601597611">
    <w:abstractNumId w:val="17"/>
  </w:num>
  <w:num w:numId="4" w16cid:durableId="1701784594">
    <w:abstractNumId w:val="0"/>
  </w:num>
  <w:num w:numId="5" w16cid:durableId="968585745">
    <w:abstractNumId w:val="3"/>
  </w:num>
  <w:num w:numId="6" w16cid:durableId="794103205">
    <w:abstractNumId w:val="9"/>
  </w:num>
  <w:num w:numId="7" w16cid:durableId="857547668">
    <w:abstractNumId w:val="4"/>
  </w:num>
  <w:num w:numId="8" w16cid:durableId="1202127797">
    <w:abstractNumId w:val="8"/>
  </w:num>
  <w:num w:numId="9" w16cid:durableId="742291969">
    <w:abstractNumId w:val="6"/>
  </w:num>
  <w:num w:numId="10" w16cid:durableId="1304121328">
    <w:abstractNumId w:val="16"/>
  </w:num>
  <w:num w:numId="11" w16cid:durableId="282880308">
    <w:abstractNumId w:val="1"/>
  </w:num>
  <w:num w:numId="12" w16cid:durableId="1972517495">
    <w:abstractNumId w:val="5"/>
  </w:num>
  <w:num w:numId="13" w16cid:durableId="2020813588">
    <w:abstractNumId w:val="7"/>
  </w:num>
  <w:num w:numId="14" w16cid:durableId="1463842073">
    <w:abstractNumId w:val="10"/>
  </w:num>
  <w:num w:numId="15" w16cid:durableId="1834832999">
    <w:abstractNumId w:val="18"/>
  </w:num>
  <w:num w:numId="16" w16cid:durableId="1395347357">
    <w:abstractNumId w:val="15"/>
  </w:num>
  <w:num w:numId="17" w16cid:durableId="1103452589">
    <w:abstractNumId w:val="13"/>
  </w:num>
  <w:num w:numId="18" w16cid:durableId="2048676914">
    <w:abstractNumId w:val="11"/>
  </w:num>
  <w:num w:numId="19" w16cid:durableId="95540568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70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2935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AD"/>
    <w:rsid w:val="00005B09"/>
    <w:rsid w:val="000473AD"/>
    <w:rsid w:val="000A145A"/>
    <w:rsid w:val="0010318D"/>
    <w:rsid w:val="001121EF"/>
    <w:rsid w:val="00125BA9"/>
    <w:rsid w:val="001615DD"/>
    <w:rsid w:val="0016223D"/>
    <w:rsid w:val="001B7B05"/>
    <w:rsid w:val="001F12E5"/>
    <w:rsid w:val="001F7846"/>
    <w:rsid w:val="002000C4"/>
    <w:rsid w:val="002123F5"/>
    <w:rsid w:val="00223337"/>
    <w:rsid w:val="00226909"/>
    <w:rsid w:val="002A0C14"/>
    <w:rsid w:val="002B5019"/>
    <w:rsid w:val="002D68EF"/>
    <w:rsid w:val="002F70EF"/>
    <w:rsid w:val="003133E0"/>
    <w:rsid w:val="00341519"/>
    <w:rsid w:val="00434C91"/>
    <w:rsid w:val="004417A6"/>
    <w:rsid w:val="00474E78"/>
    <w:rsid w:val="00526526"/>
    <w:rsid w:val="00563EAC"/>
    <w:rsid w:val="00575DA1"/>
    <w:rsid w:val="005869E3"/>
    <w:rsid w:val="005873C9"/>
    <w:rsid w:val="005D6C59"/>
    <w:rsid w:val="00674F3F"/>
    <w:rsid w:val="006771A4"/>
    <w:rsid w:val="006A279A"/>
    <w:rsid w:val="006B2A9D"/>
    <w:rsid w:val="0070711C"/>
    <w:rsid w:val="00776FCF"/>
    <w:rsid w:val="007F678D"/>
    <w:rsid w:val="00817E4C"/>
    <w:rsid w:val="00832C6A"/>
    <w:rsid w:val="00841322"/>
    <w:rsid w:val="00891138"/>
    <w:rsid w:val="008A4A71"/>
    <w:rsid w:val="008D475A"/>
    <w:rsid w:val="008D6894"/>
    <w:rsid w:val="009769D0"/>
    <w:rsid w:val="009B3250"/>
    <w:rsid w:val="009E3D62"/>
    <w:rsid w:val="009E73FF"/>
    <w:rsid w:val="00A44C2E"/>
    <w:rsid w:val="00A45A5A"/>
    <w:rsid w:val="00A87542"/>
    <w:rsid w:val="00AE3DAD"/>
    <w:rsid w:val="00AE4813"/>
    <w:rsid w:val="00AE5774"/>
    <w:rsid w:val="00B04AC9"/>
    <w:rsid w:val="00B5461C"/>
    <w:rsid w:val="00B55C43"/>
    <w:rsid w:val="00B7496A"/>
    <w:rsid w:val="00B77050"/>
    <w:rsid w:val="00BB426E"/>
    <w:rsid w:val="00BC0D74"/>
    <w:rsid w:val="00C7500C"/>
    <w:rsid w:val="00C941CB"/>
    <w:rsid w:val="00CC3F90"/>
    <w:rsid w:val="00D40522"/>
    <w:rsid w:val="00D51B9B"/>
    <w:rsid w:val="00D70870"/>
    <w:rsid w:val="00D9689B"/>
    <w:rsid w:val="00DB2AEE"/>
    <w:rsid w:val="00DF2EFF"/>
    <w:rsid w:val="00E149B2"/>
    <w:rsid w:val="00E44DA3"/>
    <w:rsid w:val="00E5553C"/>
    <w:rsid w:val="00E9415F"/>
    <w:rsid w:val="00EA489E"/>
    <w:rsid w:val="00ED6A8C"/>
    <w:rsid w:val="00EE17D3"/>
    <w:rsid w:val="00EF2150"/>
    <w:rsid w:val="00F108A8"/>
    <w:rsid w:val="00F27760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2AD2"/>
  <w15:chartTrackingRefBased/>
  <w15:docId w15:val="{B7282130-2FFC-42C8-BFC1-EB7D52AA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3DAD"/>
    <w:pPr>
      <w:widowControl w:val="0"/>
      <w:spacing w:after="0" w:line="240" w:lineRule="auto"/>
      <w:ind w:left="102" w:hanging="577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E3DAD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E3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D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yst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ystar.com/contact/" TargetMode="External"/><Relationship Id="rId5" Type="http://schemas.openxmlformats.org/officeDocument/2006/relationships/hyperlink" Target="https://www.trystar.com/wp-content/uploads/formidable/1/One-Lines-MT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Lujan</dc:creator>
  <cp:keywords/>
  <dc:description/>
  <cp:lastModifiedBy>Brian Ries</cp:lastModifiedBy>
  <cp:revision>49</cp:revision>
  <dcterms:created xsi:type="dcterms:W3CDTF">2024-08-30T18:08:00Z</dcterms:created>
  <dcterms:modified xsi:type="dcterms:W3CDTF">2024-09-03T12:56:00Z</dcterms:modified>
</cp:coreProperties>
</file>